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7BE8" w14:textId="2E217EE8" w:rsidR="00374CF3" w:rsidRPr="00374CF3" w:rsidRDefault="00374CF3" w:rsidP="00374CF3">
      <w:pPr>
        <w:pStyle w:val="a3"/>
        <w:tabs>
          <w:tab w:val="right" w:pos="9639"/>
        </w:tabs>
        <w:rPr>
          <w:rFonts w:eastAsia="MS Mincho"/>
          <w:noProof w:val="0"/>
          <w:sz w:val="24"/>
          <w:szCs w:val="24"/>
          <w:lang w:val="en-GB" w:eastAsia="en-GB"/>
        </w:rPr>
      </w:pPr>
      <w:r w:rsidRPr="00374CF3">
        <w:rPr>
          <w:rFonts w:eastAsia="MS Mincho"/>
          <w:noProof w:val="0"/>
          <w:sz w:val="24"/>
          <w:szCs w:val="24"/>
          <w:lang w:val="en-GB" w:eastAsia="en-GB"/>
        </w:rPr>
        <w:t>3GPP TSG-RAN WG2 Meeting #126</w:t>
      </w:r>
      <w:r w:rsidRPr="00374CF3">
        <w:rPr>
          <w:rFonts w:eastAsia="MS Mincho"/>
          <w:noProof w:val="0"/>
          <w:sz w:val="24"/>
          <w:szCs w:val="24"/>
          <w:lang w:val="en-GB" w:eastAsia="en-GB"/>
        </w:rPr>
        <w:tab/>
      </w:r>
      <w:r w:rsidR="00D43F16" w:rsidRPr="00D43F16">
        <w:rPr>
          <w:rFonts w:eastAsia="MS Mincho"/>
          <w:noProof w:val="0"/>
          <w:sz w:val="24"/>
          <w:szCs w:val="24"/>
          <w:lang w:val="en-GB" w:eastAsia="en-GB"/>
        </w:rPr>
        <w:t>R2-2404797</w:t>
      </w:r>
    </w:p>
    <w:p w14:paraId="4AA29EF9" w14:textId="6ADB8F4E" w:rsidR="00934AFD" w:rsidRPr="00263FFD" w:rsidRDefault="00374CF3" w:rsidP="00374CF3">
      <w:pPr>
        <w:pStyle w:val="a3"/>
        <w:tabs>
          <w:tab w:val="right" w:pos="9639"/>
        </w:tabs>
        <w:jc w:val="both"/>
        <w:rPr>
          <w:rFonts w:cs="Arial"/>
          <w:b w:val="0"/>
          <w:bCs/>
          <w:i/>
          <w:iCs/>
          <w:sz w:val="24"/>
          <w:lang w:eastAsia="zh-CN"/>
        </w:rPr>
      </w:pPr>
      <w:r w:rsidRPr="00374CF3">
        <w:rPr>
          <w:rFonts w:eastAsia="MS Mincho"/>
          <w:noProof w:val="0"/>
          <w:sz w:val="24"/>
          <w:szCs w:val="24"/>
          <w:lang w:val="en-GB" w:eastAsia="en-GB"/>
        </w:rPr>
        <w:t>Fukuoka, Japan May 2</w:t>
      </w:r>
      <w:r w:rsidR="004606D2">
        <w:rPr>
          <w:rFonts w:eastAsia="MS Mincho"/>
          <w:noProof w:val="0"/>
          <w:sz w:val="24"/>
          <w:szCs w:val="24"/>
          <w:lang w:val="en-GB" w:eastAsia="en-GB"/>
        </w:rPr>
        <w:t>0th</w:t>
      </w:r>
      <w:r w:rsidRPr="00374CF3">
        <w:rPr>
          <w:rFonts w:eastAsia="MS Mincho"/>
          <w:noProof w:val="0"/>
          <w:sz w:val="24"/>
          <w:szCs w:val="24"/>
          <w:lang w:val="en-GB" w:eastAsia="en-GB"/>
        </w:rPr>
        <w:t xml:space="preserve"> – 2</w:t>
      </w:r>
      <w:r w:rsidR="004606D2">
        <w:rPr>
          <w:rFonts w:eastAsia="MS Mincho"/>
          <w:noProof w:val="0"/>
          <w:sz w:val="24"/>
          <w:szCs w:val="24"/>
          <w:lang w:val="en-GB" w:eastAsia="en-GB"/>
        </w:rPr>
        <w:t>4</w:t>
      </w:r>
      <w:r w:rsidRPr="00374CF3">
        <w:rPr>
          <w:rFonts w:eastAsia="MS Mincho"/>
          <w:noProof w:val="0"/>
          <w:sz w:val="24"/>
          <w:szCs w:val="24"/>
          <w:lang w:val="en-GB" w:eastAsia="en-GB"/>
        </w:rPr>
        <w:t>th, 2024</w:t>
      </w:r>
    </w:p>
    <w:p w14:paraId="1A10DE58" w14:textId="77777777" w:rsidR="00186BCD" w:rsidRPr="004B0D39"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856FCB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74CF3">
        <w:rPr>
          <w:rFonts w:ascii="Arial" w:hAnsi="Arial" w:cs="Arial"/>
          <w:b/>
          <w:bCs/>
          <w:sz w:val="24"/>
        </w:rPr>
        <w:t>D</w:t>
      </w:r>
      <w:r w:rsidR="0080775C" w:rsidRPr="0080775C">
        <w:rPr>
          <w:rFonts w:ascii="Arial" w:hAnsi="Arial" w:cs="Arial"/>
          <w:b/>
          <w:bCs/>
          <w:sz w:val="24"/>
        </w:rPr>
        <w:t>ownlink coverage</w:t>
      </w:r>
      <w:r w:rsidR="0080775C">
        <w:rPr>
          <w:rFonts w:ascii="Arial" w:hAnsi="Arial" w:cs="Arial"/>
          <w:b/>
          <w:bCs/>
          <w:sz w:val="24"/>
        </w:rPr>
        <w:t xml:space="preserve"> enhancement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06D253B4" w:rsidR="001E042A" w:rsidRDefault="000C5E3A" w:rsidP="005C389C">
      <w:pPr>
        <w:rPr>
          <w:rFonts w:ascii="Times New Roman" w:hAnsi="Times New Roman"/>
          <w:sz w:val="22"/>
        </w:rPr>
      </w:pPr>
      <w:r>
        <w:rPr>
          <w:rFonts w:ascii="Times New Roman" w:hAnsi="Times New Roman"/>
          <w:sz w:val="22"/>
        </w:rPr>
        <w:t>The latest RAN2#125bis meeting made the following agreements regarding d</w:t>
      </w:r>
      <w:r w:rsidRPr="000C5E3A">
        <w:rPr>
          <w:rFonts w:ascii="Times New Roman" w:hAnsi="Times New Roman"/>
          <w:sz w:val="22"/>
        </w:rPr>
        <w:t>ownlink coverage enhancement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58BF8B98" w14:textId="77777777" w:rsidR="000C5E3A" w:rsidRPr="00147C2A" w:rsidRDefault="000C5E3A" w:rsidP="00147C2A">
            <w:pPr>
              <w:pStyle w:val="a6"/>
              <w:numPr>
                <w:ilvl w:val="0"/>
                <w:numId w:val="38"/>
              </w:numPr>
              <w:spacing w:after="0"/>
              <w:ind w:left="442" w:firstLineChars="0" w:hanging="442"/>
              <w:rPr>
                <w:sz w:val="22"/>
              </w:rPr>
            </w:pPr>
            <w:proofErr w:type="gramStart"/>
            <w:r w:rsidRPr="00147C2A">
              <w:rPr>
                <w:sz w:val="22"/>
              </w:rPr>
              <w:t>With regard to</w:t>
            </w:r>
            <w:proofErr w:type="gramEnd"/>
            <w:r w:rsidRPr="00147C2A">
              <w:rPr>
                <w:sz w:val="22"/>
              </w:rPr>
              <w:t xml:space="preserve"> link level enhancement, RAN2 waits for RAN1 agreement on the DL channels to enhance before starting any RAN2 work.</w:t>
            </w:r>
          </w:p>
          <w:p w14:paraId="66B64218" w14:textId="648274E6" w:rsidR="00DA76E6" w:rsidRPr="00147C2A" w:rsidRDefault="000C5E3A" w:rsidP="00147C2A">
            <w:pPr>
              <w:pStyle w:val="a6"/>
              <w:numPr>
                <w:ilvl w:val="0"/>
                <w:numId w:val="38"/>
              </w:numPr>
              <w:spacing w:after="0"/>
              <w:ind w:left="442" w:firstLineChars="0" w:hanging="442"/>
              <w:rPr>
                <w:sz w:val="22"/>
              </w:rPr>
            </w:pPr>
            <w:r w:rsidRPr="00147C2A">
              <w:rPr>
                <w:sz w:val="22"/>
              </w:rPr>
              <w:t>We will continue the discussion on RAN2 aspects of DL coverage enhancements (</w:t>
            </w:r>
            <w:proofErr w:type="gramStart"/>
            <w:r w:rsidRPr="00147C2A">
              <w:rPr>
                <w:sz w:val="22"/>
              </w:rPr>
              <w:t>e.g.</w:t>
            </w:r>
            <w:proofErr w:type="gramEnd"/>
            <w:r w:rsidRPr="00147C2A">
              <w:rPr>
                <w:sz w:val="22"/>
              </w:rPr>
              <w:t xml:space="preserve"> cell level / beam level DTX/DRX mechanism, etc.) in the next meetings, trying to identify questions to RAN1 for aspects where we need their input</w:t>
            </w:r>
          </w:p>
        </w:tc>
      </w:tr>
    </w:tbl>
    <w:p w14:paraId="50CCF97D" w14:textId="7A9CAB62" w:rsidR="001E042A"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CD7C3D">
        <w:rPr>
          <w:rFonts w:ascii="Times New Roman" w:hAnsi="Times New Roman"/>
          <w:sz w:val="22"/>
        </w:rPr>
        <w:t>beam and cell level DTX/DRX leveraging</w:t>
      </w:r>
      <w:r w:rsidR="001E042A">
        <w:rPr>
          <w:rFonts w:ascii="Times New Roman" w:hAnsi="Times New Roman"/>
          <w:sz w:val="22"/>
        </w:rPr>
        <w:t xml:space="preserve"> Rel-18 NES technique</w:t>
      </w:r>
      <w:r w:rsidR="00974687">
        <w:rPr>
          <w:rFonts w:ascii="Times New Roman" w:hAnsi="Times New Roman"/>
          <w:sz w:val="22"/>
        </w:rPr>
        <w:t>s</w:t>
      </w:r>
      <w:r w:rsidR="001E042A">
        <w:rPr>
          <w:rFonts w:ascii="Times New Roman" w:hAnsi="Times New Roman"/>
          <w:sz w:val="22"/>
        </w:rPr>
        <w:t xml:space="preserve"> in </w:t>
      </w:r>
      <w:proofErr w:type="gramStart"/>
      <w:r w:rsidR="001E042A">
        <w:rPr>
          <w:rFonts w:ascii="Times New Roman" w:hAnsi="Times New Roman"/>
          <w:sz w:val="22"/>
        </w:rPr>
        <w:t>NTN, and</w:t>
      </w:r>
      <w:proofErr w:type="gramEnd"/>
      <w:r w:rsidR="001E042A">
        <w:rPr>
          <w:rFonts w:ascii="Times New Roman" w:hAnsi="Times New Roman"/>
          <w:sz w:val="22"/>
        </w:rPr>
        <w:t xml:space="preserve"> identify some potential issues and optimizations for DL coverage enhancement.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9587F09" w14:textId="33309541" w:rsidR="003B1A89" w:rsidRDefault="003B1A89" w:rsidP="00DE39E0">
      <w:pPr>
        <w:rPr>
          <w:rFonts w:ascii="Times New Roman" w:hAnsi="Times New Roman"/>
          <w:sz w:val="22"/>
        </w:rPr>
      </w:pPr>
      <w:r>
        <w:rPr>
          <w:rFonts w:ascii="Times New Roman" w:hAnsi="Times New Roman"/>
          <w:sz w:val="22"/>
        </w:rPr>
        <w:t xml:space="preserve">Rel-18 </w:t>
      </w:r>
      <w:r w:rsidRPr="001E29A0">
        <w:rPr>
          <w:rFonts w:ascii="Times New Roman" w:hAnsi="Times New Roman"/>
          <w:sz w:val="22"/>
        </w:rPr>
        <w:t xml:space="preserve">NES aims to develop techniques that can improve the network energy savings in time, frequency, spatial, and power domains, with potential information exchange and coordination over network interfaces. </w:t>
      </w:r>
      <w:r w:rsidRPr="00D80CD5">
        <w:rPr>
          <w:rFonts w:ascii="Times New Roman" w:hAnsi="Times New Roman"/>
          <w:sz w:val="22"/>
        </w:rPr>
        <w:t>To facilitate reducing gNB downlink transmission/uplink reception active time, cell DTX/DRX (</w:t>
      </w:r>
      <w:proofErr w:type="gramStart"/>
      <w:r w:rsidRPr="00D80CD5">
        <w:rPr>
          <w:rFonts w:ascii="Times New Roman" w:hAnsi="Times New Roman"/>
          <w:sz w:val="22"/>
        </w:rPr>
        <w:t>i.e.</w:t>
      </w:r>
      <w:proofErr w:type="gramEnd"/>
      <w:r w:rsidRPr="00D80CD5">
        <w:rPr>
          <w:rFonts w:ascii="Times New Roman" w:hAnsi="Times New Roman"/>
          <w:sz w:val="22"/>
        </w:rPr>
        <w:t xml:space="preserve"> active and non-active periods)</w:t>
      </w:r>
      <w:r>
        <w:rPr>
          <w:rFonts w:ascii="Times New Roman" w:hAnsi="Times New Roman"/>
          <w:sz w:val="22"/>
        </w:rPr>
        <w:t xml:space="preserve"> and cell turning-off were introduced in Rel-18 NES. </w:t>
      </w:r>
      <w:r w:rsidR="009B74DF">
        <w:rPr>
          <w:rFonts w:ascii="Times New Roman" w:hAnsi="Times New Roman"/>
          <w:sz w:val="22"/>
        </w:rPr>
        <w:t xml:space="preserve">For Rel-19 NR NTN, it is expected to use Rel-18 NES mechanism as baseline and consider enhancements to satellite-beam level to </w:t>
      </w:r>
      <w:proofErr w:type="spellStart"/>
      <w:r w:rsidR="009B74DF">
        <w:rPr>
          <w:rFonts w:ascii="Times New Roman" w:hAnsi="Times New Roman"/>
          <w:sz w:val="22"/>
        </w:rPr>
        <w:t>facilicate</w:t>
      </w:r>
      <w:proofErr w:type="spellEnd"/>
      <w:r w:rsidR="009B74DF">
        <w:rPr>
          <w:rFonts w:ascii="Times New Roman" w:hAnsi="Times New Roman"/>
          <w:sz w:val="22"/>
        </w:rPr>
        <w:t xml:space="preserve"> flexible and dynamic power allocation among satellite beams for DL coverage enhancement.</w:t>
      </w:r>
    </w:p>
    <w:p w14:paraId="6ECF9402" w14:textId="09B9842B" w:rsidR="003B1A89" w:rsidRPr="00F43659" w:rsidRDefault="00F43659" w:rsidP="00F43659">
      <w:pPr>
        <w:spacing w:beforeLines="50" w:before="156" w:afterLines="50" w:after="156"/>
        <w:outlineLvl w:val="1"/>
        <w:rPr>
          <w:rFonts w:ascii="Times New Roman" w:hAnsi="Times New Roman"/>
          <w:b/>
          <w:bCs/>
          <w:sz w:val="22"/>
          <w:u w:val="single"/>
        </w:rPr>
      </w:pPr>
      <w:r w:rsidRPr="00F43659">
        <w:rPr>
          <w:rFonts w:ascii="Times New Roman" w:hAnsi="Times New Roman" w:hint="eastAsia"/>
          <w:b/>
          <w:bCs/>
          <w:sz w:val="22"/>
          <w:u w:val="single"/>
        </w:rPr>
        <w:t>B</w:t>
      </w:r>
      <w:r w:rsidRPr="00F43659">
        <w:rPr>
          <w:rFonts w:ascii="Times New Roman" w:hAnsi="Times New Roman"/>
          <w:b/>
          <w:bCs/>
          <w:sz w:val="22"/>
          <w:u w:val="single"/>
        </w:rPr>
        <w:t>eam level DTX/DRX</w:t>
      </w:r>
    </w:p>
    <w:p w14:paraId="34C28999" w14:textId="77777777" w:rsidR="009B74DF" w:rsidRPr="009B74DF" w:rsidRDefault="009B74DF" w:rsidP="009B74DF">
      <w:pPr>
        <w:spacing w:beforeLines="50" w:before="156" w:afterLines="50" w:after="156"/>
        <w:rPr>
          <w:rFonts w:ascii="Times New Roman" w:eastAsiaTheme="minorEastAsia" w:hAnsi="Times New Roman"/>
          <w:sz w:val="22"/>
        </w:rPr>
      </w:pPr>
      <w:r w:rsidRPr="009B74DF">
        <w:rPr>
          <w:rFonts w:ascii="Times New Roman" w:eastAsiaTheme="minorEastAsia" w:hAnsi="Times New Roman"/>
          <w:sz w:val="22"/>
        </w:rPr>
        <w:t>For satellite beam management in NTN, 3GPP RAN1 initiated discussion on scenarios and performance evaluation in RAN1#116, and made the following assumptions:</w:t>
      </w:r>
    </w:p>
    <w:tbl>
      <w:tblPr>
        <w:tblStyle w:val="af1"/>
        <w:tblW w:w="0" w:type="auto"/>
        <w:tblLook w:val="04A0" w:firstRow="1" w:lastRow="0" w:firstColumn="1" w:lastColumn="0" w:noHBand="0" w:noVBand="1"/>
      </w:tblPr>
      <w:tblGrid>
        <w:gridCol w:w="9629"/>
      </w:tblGrid>
      <w:tr w:rsidR="009B74DF" w:rsidRPr="009B74DF" w14:paraId="2C9EA4FF" w14:textId="77777777" w:rsidTr="00CE732D">
        <w:tc>
          <w:tcPr>
            <w:tcW w:w="9839" w:type="dxa"/>
          </w:tcPr>
          <w:p w14:paraId="2625908B" w14:textId="77777777" w:rsidR="009B74DF" w:rsidRPr="009B74DF" w:rsidRDefault="009B74DF" w:rsidP="00CE732D">
            <w:pPr>
              <w:tabs>
                <w:tab w:val="num" w:pos="720"/>
              </w:tabs>
              <w:rPr>
                <w:rFonts w:ascii="Times New Roman" w:hAnsi="Times New Roman"/>
                <w:sz w:val="22"/>
              </w:rPr>
            </w:pPr>
            <w:r w:rsidRPr="009B74DF">
              <w:rPr>
                <w:rFonts w:ascii="Times New Roman" w:hAnsi="Times New Roman"/>
                <w:sz w:val="22"/>
              </w:rPr>
              <w:t>For system level study based on analytical evaluation:</w:t>
            </w:r>
          </w:p>
          <w:p w14:paraId="0A26F5CC" w14:textId="77777777" w:rsidR="009B74DF" w:rsidRPr="009B74DF" w:rsidRDefault="009B74DF" w:rsidP="009B74DF">
            <w:pPr>
              <w:widowControl/>
              <w:numPr>
                <w:ilvl w:val="0"/>
                <w:numId w:val="39"/>
              </w:numPr>
              <w:tabs>
                <w:tab w:val="clear" w:pos="720"/>
                <w:tab w:val="num" w:pos="426"/>
              </w:tabs>
              <w:overflowPunct w:val="0"/>
              <w:autoSpaceDE w:val="0"/>
              <w:autoSpaceDN w:val="0"/>
              <w:adjustRightInd w:val="0"/>
              <w:ind w:left="426" w:hanging="426"/>
              <w:jc w:val="left"/>
              <w:textAlignment w:val="baseline"/>
              <w:rPr>
                <w:rFonts w:ascii="Times New Roman" w:hAnsi="Times New Roman"/>
                <w:sz w:val="22"/>
              </w:rPr>
            </w:pPr>
            <w:r w:rsidRPr="009B74DF">
              <w:rPr>
                <w:rFonts w:ascii="Times New Roman" w:hAnsi="Times New Roman"/>
                <w:sz w:val="22"/>
              </w:rPr>
              <w:t>N1 beam footprints are in state “off”: These beam footprints are not served by any signal (no satellite service in this area).</w:t>
            </w:r>
          </w:p>
          <w:p w14:paraId="13B049A9" w14:textId="77777777" w:rsidR="009B74DF" w:rsidRPr="009B74DF" w:rsidRDefault="009B74DF" w:rsidP="009B74DF">
            <w:pPr>
              <w:widowControl/>
              <w:numPr>
                <w:ilvl w:val="0"/>
                <w:numId w:val="39"/>
              </w:numPr>
              <w:tabs>
                <w:tab w:val="clear" w:pos="720"/>
                <w:tab w:val="num" w:pos="426"/>
              </w:tabs>
              <w:overflowPunct w:val="0"/>
              <w:autoSpaceDE w:val="0"/>
              <w:autoSpaceDN w:val="0"/>
              <w:adjustRightInd w:val="0"/>
              <w:ind w:left="426" w:hanging="426"/>
              <w:jc w:val="left"/>
              <w:textAlignment w:val="baseline"/>
              <w:rPr>
                <w:rFonts w:ascii="Times New Roman" w:hAnsi="Times New Roman"/>
                <w:sz w:val="22"/>
              </w:rPr>
            </w:pPr>
            <w:r w:rsidRPr="009B74DF">
              <w:rPr>
                <w:rFonts w:ascii="Times New Roman" w:hAnsi="Times New Roman"/>
                <w:sz w:val="22"/>
              </w:rPr>
              <w:t xml:space="preserve">N2 beam footprints are in state “common messages only”: These beam footprints do not have any active user </w:t>
            </w:r>
            <w:proofErr w:type="gramStart"/>
            <w:r w:rsidRPr="009B74DF">
              <w:rPr>
                <w:rFonts w:ascii="Times New Roman" w:hAnsi="Times New Roman"/>
                <w:sz w:val="22"/>
              </w:rPr>
              <w:t>traffic, and</w:t>
            </w:r>
            <w:proofErr w:type="gramEnd"/>
            <w:r w:rsidRPr="009B74DF">
              <w:rPr>
                <w:rFonts w:ascii="Times New Roman" w:hAnsi="Times New Roman"/>
                <w:sz w:val="22"/>
              </w:rPr>
              <w:t xml:space="preserve"> are served the necessary information for cell discovery and initial access. Optionally, companies may consider user arrival (</w:t>
            </w:r>
            <w:proofErr w:type="gramStart"/>
            <w:r w:rsidRPr="009B74DF">
              <w:rPr>
                <w:rFonts w:ascii="Times New Roman" w:hAnsi="Times New Roman"/>
                <w:sz w:val="22"/>
              </w:rPr>
              <w:t>e.g.</w:t>
            </w:r>
            <w:proofErr w:type="gramEnd"/>
            <w:r w:rsidRPr="009B74DF">
              <w:rPr>
                <w:rFonts w:ascii="Times New Roman" w:hAnsi="Times New Roman"/>
                <w:sz w:val="22"/>
              </w:rPr>
              <w:t xml:space="preserve"> RACH access) in this type of cell, and should describe how this is taken into account in the analytical evaluation.</w:t>
            </w:r>
          </w:p>
          <w:p w14:paraId="6D0694DC" w14:textId="77777777" w:rsidR="009B74DF" w:rsidRPr="009B74DF" w:rsidRDefault="009B74DF" w:rsidP="009B74DF">
            <w:pPr>
              <w:widowControl/>
              <w:numPr>
                <w:ilvl w:val="0"/>
                <w:numId w:val="39"/>
              </w:numPr>
              <w:tabs>
                <w:tab w:val="clear" w:pos="720"/>
                <w:tab w:val="num" w:pos="426"/>
              </w:tabs>
              <w:overflowPunct w:val="0"/>
              <w:autoSpaceDE w:val="0"/>
              <w:autoSpaceDN w:val="0"/>
              <w:adjustRightInd w:val="0"/>
              <w:ind w:left="426" w:hanging="426"/>
              <w:jc w:val="left"/>
              <w:textAlignment w:val="baseline"/>
              <w:rPr>
                <w:rFonts w:ascii="Times New Roman" w:hAnsi="Times New Roman"/>
                <w:sz w:val="22"/>
              </w:rPr>
            </w:pPr>
            <w:r w:rsidRPr="009B74DF">
              <w:rPr>
                <w:rFonts w:ascii="Times New Roman" w:hAnsi="Times New Roman"/>
                <w:sz w:val="22"/>
              </w:rPr>
              <w:t>N3 beam footprints are in state “active traffic”: These beam footprints have X active (</w:t>
            </w:r>
            <w:proofErr w:type="gramStart"/>
            <w:r w:rsidRPr="009B74DF">
              <w:rPr>
                <w:rFonts w:ascii="Times New Roman" w:hAnsi="Times New Roman"/>
                <w:sz w:val="22"/>
              </w:rPr>
              <w:t>e.g.</w:t>
            </w:r>
            <w:proofErr w:type="gramEnd"/>
            <w:r w:rsidRPr="009B74DF">
              <w:rPr>
                <w:rFonts w:ascii="Times New Roman" w:hAnsi="Times New Roman"/>
                <w:sz w:val="22"/>
              </w:rPr>
              <w:t xml:space="preserve"> </w:t>
            </w:r>
            <w:proofErr w:type="spellStart"/>
            <w:r w:rsidRPr="009B74DF">
              <w:rPr>
                <w:rFonts w:ascii="Times New Roman" w:hAnsi="Times New Roman"/>
                <w:sz w:val="22"/>
              </w:rPr>
              <w:t>VoNR</w:t>
            </w:r>
            <w:proofErr w:type="spellEnd"/>
            <w:r w:rsidRPr="009B74DF">
              <w:rPr>
                <w:rFonts w:ascii="Times New Roman" w:hAnsi="Times New Roman"/>
                <w:sz w:val="22"/>
              </w:rPr>
              <w:t xml:space="preserve">) users each. These beam footprints are also served the necessary information for cell discovery and initial </w:t>
            </w:r>
            <w:proofErr w:type="gramStart"/>
            <w:r w:rsidRPr="009B74DF">
              <w:rPr>
                <w:rFonts w:ascii="Times New Roman" w:hAnsi="Times New Roman"/>
                <w:sz w:val="22"/>
              </w:rPr>
              <w:t>access</w:t>
            </w:r>
            <w:proofErr w:type="gramEnd"/>
          </w:p>
          <w:p w14:paraId="3089AC2A" w14:textId="77777777" w:rsidR="009B74DF" w:rsidRPr="009B74DF" w:rsidRDefault="009B74DF" w:rsidP="009B74DF">
            <w:pPr>
              <w:widowControl/>
              <w:numPr>
                <w:ilvl w:val="0"/>
                <w:numId w:val="39"/>
              </w:numPr>
              <w:tabs>
                <w:tab w:val="clear" w:pos="720"/>
                <w:tab w:val="num" w:pos="426"/>
              </w:tabs>
              <w:overflowPunct w:val="0"/>
              <w:autoSpaceDE w:val="0"/>
              <w:autoSpaceDN w:val="0"/>
              <w:adjustRightInd w:val="0"/>
              <w:ind w:left="426" w:hanging="426"/>
              <w:jc w:val="left"/>
              <w:textAlignment w:val="baseline"/>
              <w:rPr>
                <w:rFonts w:ascii="Times New Roman" w:hAnsi="Times New Roman"/>
                <w:sz w:val="22"/>
              </w:rPr>
            </w:pPr>
            <w:r w:rsidRPr="009B74DF">
              <w:rPr>
                <w:rFonts w:ascii="Times New Roman" w:hAnsi="Times New Roman"/>
                <w:sz w:val="22"/>
              </w:rPr>
              <w:t xml:space="preserve">N1 + N2 + N3 = “Total number of beam footprints”. </w:t>
            </w:r>
          </w:p>
        </w:tc>
      </w:tr>
    </w:tbl>
    <w:p w14:paraId="4E5D6A0B" w14:textId="77777777" w:rsidR="009B74DF" w:rsidRDefault="009B74DF" w:rsidP="00DE39E0">
      <w:pPr>
        <w:rPr>
          <w:rFonts w:ascii="Times New Roman" w:eastAsiaTheme="minorEastAsia" w:hAnsi="Times New Roman"/>
          <w:sz w:val="22"/>
        </w:rPr>
      </w:pPr>
      <w:r w:rsidRPr="009B74DF">
        <w:rPr>
          <w:rFonts w:ascii="Times New Roman" w:eastAsiaTheme="minorEastAsia" w:hAnsi="Times New Roman"/>
          <w:sz w:val="22"/>
        </w:rPr>
        <w:t xml:space="preserve">It is observed that in Rel-19 NR NTN the granularity of power sharing is expected to be at satellite beam level, wherein the power capability of a satellite is allocated among its satellite beams in different states (e.g., “off”, </w:t>
      </w:r>
      <w:r w:rsidRPr="009B74DF">
        <w:rPr>
          <w:rFonts w:ascii="Times New Roman" w:eastAsiaTheme="minorEastAsia" w:hAnsi="Times New Roman"/>
          <w:sz w:val="22"/>
        </w:rPr>
        <w:lastRenderedPageBreak/>
        <w:t xml:space="preserve">“common message only” and “active traffic”). </w:t>
      </w:r>
    </w:p>
    <w:p w14:paraId="2B949887" w14:textId="6A632C56" w:rsidR="009B74DF" w:rsidRPr="00C96890" w:rsidRDefault="009B74DF" w:rsidP="00DE39E0">
      <w:pPr>
        <w:rPr>
          <w:rFonts w:ascii="Times New Roman" w:eastAsiaTheme="minorEastAsia" w:hAnsi="Times New Roman"/>
          <w:b/>
          <w:bCs/>
          <w:sz w:val="22"/>
        </w:rPr>
      </w:pPr>
      <w:r w:rsidRPr="00C96890">
        <w:rPr>
          <w:rFonts w:ascii="Times New Roman" w:eastAsiaTheme="minorEastAsia" w:hAnsi="Times New Roman" w:hint="eastAsia"/>
          <w:b/>
          <w:bCs/>
          <w:sz w:val="22"/>
        </w:rPr>
        <w:t>O</w:t>
      </w:r>
      <w:r w:rsidRPr="00C96890">
        <w:rPr>
          <w:rFonts w:ascii="Times New Roman" w:eastAsiaTheme="minorEastAsia" w:hAnsi="Times New Roman"/>
          <w:b/>
          <w:bCs/>
          <w:sz w:val="22"/>
        </w:rPr>
        <w:t>bservation 1: The “beam-level” refers to satellite beam</w:t>
      </w:r>
      <w:r w:rsidR="00C96890" w:rsidRPr="00C96890">
        <w:rPr>
          <w:rFonts w:ascii="Times New Roman" w:eastAsiaTheme="minorEastAsia" w:hAnsi="Times New Roman"/>
          <w:b/>
          <w:bCs/>
          <w:sz w:val="22"/>
        </w:rPr>
        <w:t xml:space="preserve"> which is different from the NR beam (SSB).</w:t>
      </w:r>
    </w:p>
    <w:p w14:paraId="5C2FB64E" w14:textId="7BC0061F" w:rsidR="00F43659" w:rsidRDefault="009B74DF" w:rsidP="00DE39E0">
      <w:pPr>
        <w:rPr>
          <w:rFonts w:ascii="Times New Roman" w:eastAsiaTheme="minorEastAsia" w:hAnsi="Times New Roman"/>
          <w:sz w:val="22"/>
        </w:rPr>
      </w:pPr>
      <w:r w:rsidRPr="009B74DF">
        <w:rPr>
          <w:rFonts w:ascii="Times New Roman" w:eastAsiaTheme="minorEastAsia" w:hAnsi="Times New Roman"/>
          <w:sz w:val="22"/>
        </w:rPr>
        <w:t xml:space="preserve">However, the association or mapping relationship between satellite beams and NTN cells or SSBs within an NTN cell is variable according to the rapporteur’s </w:t>
      </w:r>
      <w:r w:rsidR="007C7362">
        <w:rPr>
          <w:rFonts w:ascii="Times New Roman" w:eastAsiaTheme="minorEastAsia" w:hAnsi="Times New Roman"/>
          <w:sz w:val="22"/>
        </w:rPr>
        <w:t>description i</w:t>
      </w:r>
      <w:r w:rsidRPr="009B74DF">
        <w:rPr>
          <w:rFonts w:ascii="Times New Roman" w:eastAsiaTheme="minorEastAsia" w:hAnsi="Times New Roman"/>
          <w:sz w:val="22"/>
        </w:rPr>
        <w:t>n R2-2403276, wherein one satellite beam can be mapped to an entire NTN cell, part of an NTN cell or multiple cells, as well as an entire SSB, part of an SSB or multiple SSBs.</w:t>
      </w:r>
      <w:r w:rsidR="007C7362">
        <w:rPr>
          <w:rFonts w:ascii="Times New Roman" w:eastAsiaTheme="minorEastAsia" w:hAnsi="Times New Roman"/>
          <w:sz w:val="22"/>
        </w:rPr>
        <w:t xml:space="preserve"> In our understanding at least the following scenarios (mapping relations) mentioned in R2-2403276 are to be considered for NTN:</w:t>
      </w:r>
    </w:p>
    <w:p w14:paraId="1AE2B94E" w14:textId="0E010FDB" w:rsidR="007C7362" w:rsidRPr="007C7362" w:rsidRDefault="007C7362" w:rsidP="007C7362">
      <w:pPr>
        <w:pStyle w:val="a6"/>
        <w:numPr>
          <w:ilvl w:val="0"/>
          <w:numId w:val="40"/>
        </w:numPr>
        <w:spacing w:after="0"/>
        <w:ind w:left="442" w:firstLineChars="0" w:hanging="442"/>
        <w:rPr>
          <w:sz w:val="22"/>
        </w:rPr>
      </w:pPr>
      <w:r w:rsidRPr="007C7362">
        <w:rPr>
          <w:sz w:val="22"/>
        </w:rPr>
        <w:t>Option 1: Single NR cell per satellite beam and single NR beam cell.</w:t>
      </w:r>
    </w:p>
    <w:p w14:paraId="06EB94EB" w14:textId="12317278" w:rsidR="007C7362" w:rsidRPr="007C7362" w:rsidRDefault="007C7362" w:rsidP="007C7362">
      <w:pPr>
        <w:pStyle w:val="a6"/>
        <w:numPr>
          <w:ilvl w:val="0"/>
          <w:numId w:val="40"/>
        </w:numPr>
        <w:spacing w:after="0"/>
        <w:ind w:left="442" w:firstLineChars="0" w:hanging="442"/>
        <w:rPr>
          <w:sz w:val="22"/>
        </w:rPr>
      </w:pPr>
      <w:r w:rsidRPr="007C7362">
        <w:rPr>
          <w:sz w:val="22"/>
        </w:rPr>
        <w:t>Option 2: Multi-Satellite beam NR cell and single NR beam cell: cell splitting.</w:t>
      </w:r>
    </w:p>
    <w:p w14:paraId="6D6A50F9" w14:textId="361D040F" w:rsidR="007C7362" w:rsidRPr="007C7362" w:rsidRDefault="007C7362" w:rsidP="007C7362">
      <w:pPr>
        <w:pStyle w:val="a6"/>
        <w:numPr>
          <w:ilvl w:val="0"/>
          <w:numId w:val="40"/>
        </w:numPr>
        <w:spacing w:after="0"/>
        <w:ind w:left="442" w:firstLineChars="0" w:hanging="442"/>
        <w:rPr>
          <w:sz w:val="22"/>
          <w:szCs w:val="22"/>
        </w:rPr>
      </w:pPr>
      <w:r w:rsidRPr="007C7362">
        <w:rPr>
          <w:sz w:val="22"/>
        </w:rPr>
        <w:t xml:space="preserve">Option 3: Multi-Satellite beam cell and </w:t>
      </w:r>
      <w:proofErr w:type="gramStart"/>
      <w:r w:rsidRPr="007C7362">
        <w:rPr>
          <w:sz w:val="22"/>
        </w:rPr>
        <w:t>multi NR</w:t>
      </w:r>
      <w:proofErr w:type="gramEnd"/>
      <w:r w:rsidRPr="007C7362">
        <w:rPr>
          <w:sz w:val="22"/>
        </w:rPr>
        <w:t xml:space="preserve"> beam cell.</w:t>
      </w:r>
    </w:p>
    <w:p w14:paraId="131C8859" w14:textId="5E3C0875" w:rsidR="003B1A89" w:rsidRPr="007C7362" w:rsidRDefault="00C96890" w:rsidP="00DE39E0">
      <w:pPr>
        <w:rPr>
          <w:rFonts w:ascii="Times New Roman" w:hAnsi="Times New Roman"/>
          <w:b/>
          <w:bCs/>
          <w:sz w:val="22"/>
        </w:rPr>
      </w:pPr>
      <w:r w:rsidRPr="007C7362">
        <w:rPr>
          <w:rFonts w:ascii="Times New Roman" w:hAnsi="Times New Roman" w:hint="eastAsia"/>
          <w:b/>
          <w:bCs/>
          <w:sz w:val="22"/>
        </w:rPr>
        <w:t>O</w:t>
      </w:r>
      <w:r w:rsidRPr="007C7362">
        <w:rPr>
          <w:rFonts w:ascii="Times New Roman" w:hAnsi="Times New Roman"/>
          <w:b/>
          <w:bCs/>
          <w:sz w:val="22"/>
        </w:rPr>
        <w:t xml:space="preserve">bservation 2: </w:t>
      </w:r>
      <w:r w:rsidR="007C7362" w:rsidRPr="007C7362">
        <w:rPr>
          <w:rFonts w:ascii="Times New Roman" w:hAnsi="Times New Roman"/>
          <w:b/>
          <w:bCs/>
          <w:sz w:val="22"/>
        </w:rPr>
        <w:t>The association or mapping relationship between satellite beams and NTN cells or SSBs within an NTN cell is pending on RAN1 discussion.</w:t>
      </w:r>
    </w:p>
    <w:p w14:paraId="5E945807" w14:textId="069A0866" w:rsidR="003B1A89" w:rsidRDefault="007C7362" w:rsidP="00DE39E0">
      <w:pPr>
        <w:rPr>
          <w:rFonts w:ascii="Times New Roman" w:hAnsi="Times New Roman"/>
          <w:sz w:val="22"/>
        </w:rPr>
      </w:pPr>
      <w:r>
        <w:rPr>
          <w:rFonts w:ascii="Times New Roman" w:hAnsi="Times New Roman" w:hint="eastAsia"/>
          <w:sz w:val="22"/>
        </w:rPr>
        <w:t>F</w:t>
      </w:r>
      <w:r>
        <w:rPr>
          <w:rFonts w:ascii="Times New Roman" w:hAnsi="Times New Roman"/>
          <w:sz w:val="22"/>
        </w:rPr>
        <w:t>or the Option 2 and 3 wherein satellite beam covers part of</w:t>
      </w:r>
      <w:r w:rsidR="00784729">
        <w:rPr>
          <w:rFonts w:ascii="Times New Roman" w:hAnsi="Times New Roman"/>
          <w:sz w:val="22"/>
        </w:rPr>
        <w:t xml:space="preserve"> an NTN cell, it is obvious that cell DTX/DRX cannot provided the needed </w:t>
      </w:r>
      <w:r w:rsidR="00784729">
        <w:rPr>
          <w:rFonts w:ascii="Times New Roman" w:hAnsi="Times New Roman" w:hint="eastAsia"/>
          <w:sz w:val="22"/>
        </w:rPr>
        <w:t>granularity</w:t>
      </w:r>
      <w:r w:rsidR="00784729">
        <w:rPr>
          <w:rFonts w:ascii="Times New Roman" w:hAnsi="Times New Roman"/>
          <w:sz w:val="22"/>
        </w:rPr>
        <w:t xml:space="preserve"> for satellite beam management. </w:t>
      </w:r>
      <w:proofErr w:type="gramStart"/>
      <w:r w:rsidR="00784729">
        <w:rPr>
          <w:rFonts w:ascii="Times New Roman" w:hAnsi="Times New Roman"/>
          <w:sz w:val="22"/>
        </w:rPr>
        <w:t>Therefore</w:t>
      </w:r>
      <w:proofErr w:type="gramEnd"/>
      <w:r w:rsidR="00784729">
        <w:rPr>
          <w:rFonts w:ascii="Times New Roman" w:hAnsi="Times New Roman"/>
          <w:sz w:val="22"/>
        </w:rPr>
        <w:t xml:space="preserve"> the corresponding discussion shall wait for RAN1’s further progress.</w:t>
      </w:r>
    </w:p>
    <w:p w14:paraId="7BD69834" w14:textId="4F0BF177" w:rsidR="00784729" w:rsidRPr="00784729" w:rsidRDefault="00784729" w:rsidP="00DE39E0">
      <w:pPr>
        <w:rPr>
          <w:rFonts w:ascii="Times New Roman" w:hAnsi="Times New Roman"/>
          <w:b/>
          <w:bCs/>
          <w:sz w:val="22"/>
        </w:rPr>
      </w:pPr>
      <w:r w:rsidRPr="00784729">
        <w:rPr>
          <w:rFonts w:ascii="Times New Roman" w:hAnsi="Times New Roman" w:hint="eastAsia"/>
          <w:b/>
          <w:bCs/>
          <w:sz w:val="22"/>
        </w:rPr>
        <w:t>P</w:t>
      </w:r>
      <w:r w:rsidRPr="00784729">
        <w:rPr>
          <w:rFonts w:ascii="Times New Roman" w:hAnsi="Times New Roman"/>
          <w:b/>
          <w:bCs/>
          <w:sz w:val="22"/>
        </w:rPr>
        <w:t>roposal 1: Discussion for satellite beam level mechanisms (e.g., DTX/DRX) can wait for RAN1’s further progress e.g., details of satellite beam patterns and mapping relations between satellite beam and cell (and possibly SSB).</w:t>
      </w:r>
    </w:p>
    <w:p w14:paraId="1B21630B" w14:textId="1BA7F9B4" w:rsidR="00784729" w:rsidRPr="00F43659" w:rsidRDefault="00784729" w:rsidP="00784729">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Cell</w:t>
      </w:r>
      <w:r w:rsidRPr="00F43659">
        <w:rPr>
          <w:rFonts w:ascii="Times New Roman" w:hAnsi="Times New Roman"/>
          <w:b/>
          <w:bCs/>
          <w:sz w:val="22"/>
          <w:u w:val="single"/>
        </w:rPr>
        <w:t xml:space="preserve"> level DTX/DRX</w:t>
      </w:r>
    </w:p>
    <w:p w14:paraId="72076161" w14:textId="21B3F2DF" w:rsidR="003B1A89" w:rsidRDefault="00784729" w:rsidP="00DE39E0">
      <w:pPr>
        <w:rPr>
          <w:rFonts w:ascii="Times New Roman" w:hAnsi="Times New Roman"/>
          <w:sz w:val="22"/>
        </w:rPr>
      </w:pPr>
      <w:r>
        <w:rPr>
          <w:rFonts w:ascii="Times New Roman" w:hAnsi="Times New Roman" w:hint="eastAsia"/>
          <w:sz w:val="22"/>
        </w:rPr>
        <w:t>F</w:t>
      </w:r>
      <w:r>
        <w:rPr>
          <w:rFonts w:ascii="Times New Roman" w:hAnsi="Times New Roman"/>
          <w:sz w:val="22"/>
        </w:rPr>
        <w:t>or the above-mentioned Option 1, which is also a scenario that has been supported by current specifications, can leverage cell/DTX/DRX to facilitate satellite beam DTX/DRX without waiting for RAN1’s discussion.</w:t>
      </w:r>
      <w:r w:rsidR="00AC03F9">
        <w:rPr>
          <w:rFonts w:ascii="Times New Roman" w:hAnsi="Times New Roman"/>
          <w:sz w:val="22"/>
        </w:rPr>
        <w:t xml:space="preserve"> RAN2 can take this option as a starting point and have some discussion on cell DTX/DRX impacts and enhancements </w:t>
      </w:r>
      <w:proofErr w:type="gramStart"/>
      <w:r w:rsidR="00AC03F9">
        <w:rPr>
          <w:rFonts w:ascii="Times New Roman" w:hAnsi="Times New Roman"/>
          <w:sz w:val="22"/>
        </w:rPr>
        <w:t>first, and</w:t>
      </w:r>
      <w:proofErr w:type="gramEnd"/>
      <w:r w:rsidR="00AC03F9">
        <w:rPr>
          <w:rFonts w:ascii="Times New Roman" w:hAnsi="Times New Roman"/>
          <w:sz w:val="22"/>
        </w:rPr>
        <w:t xml:space="preserve"> can further check if the solutions can be used at satellite beam level once RAN1 have further conclusions.</w:t>
      </w:r>
    </w:p>
    <w:p w14:paraId="33A03A0E" w14:textId="14314AEE" w:rsidR="00AC03F9" w:rsidRPr="00CD7C3D" w:rsidRDefault="00AC03F9" w:rsidP="00DE39E0">
      <w:pPr>
        <w:rPr>
          <w:rFonts w:ascii="Times New Roman" w:hAnsi="Times New Roman"/>
          <w:b/>
          <w:bCs/>
          <w:sz w:val="22"/>
        </w:rPr>
      </w:pPr>
      <w:r w:rsidRPr="00CD7C3D">
        <w:rPr>
          <w:rFonts w:ascii="Times New Roman" w:hAnsi="Times New Roman" w:hint="eastAsia"/>
          <w:b/>
          <w:bCs/>
          <w:sz w:val="22"/>
        </w:rPr>
        <w:t>O</w:t>
      </w:r>
      <w:r w:rsidRPr="00CD7C3D">
        <w:rPr>
          <w:rFonts w:ascii="Times New Roman" w:hAnsi="Times New Roman"/>
          <w:b/>
          <w:bCs/>
          <w:sz w:val="22"/>
        </w:rPr>
        <w:t>bservation 3: From RAN2 perspective the scenario of Option 1 (Single NR cell per satellite beam and single NR beam cell) can be a starting point to discuss cell DTX/DRX enhancements without waiting for RAN1’s progress.</w:t>
      </w:r>
    </w:p>
    <w:p w14:paraId="1F7DD97F" w14:textId="058B673A" w:rsidR="00AC03F9" w:rsidRDefault="00AC03F9" w:rsidP="00DE39E0">
      <w:pPr>
        <w:rPr>
          <w:rFonts w:ascii="Times New Roman" w:hAnsi="Times New Roman"/>
          <w:sz w:val="22"/>
        </w:rPr>
      </w:pPr>
      <w:proofErr w:type="gramStart"/>
      <w:r>
        <w:rPr>
          <w:rFonts w:ascii="Times New Roman" w:hAnsi="Times New Roman" w:hint="eastAsia"/>
          <w:sz w:val="22"/>
        </w:rPr>
        <w:t>T</w:t>
      </w:r>
      <w:r>
        <w:rPr>
          <w:rFonts w:ascii="Times New Roman" w:hAnsi="Times New Roman"/>
          <w:sz w:val="22"/>
        </w:rPr>
        <w:t>herefore</w:t>
      </w:r>
      <w:proofErr w:type="gramEnd"/>
      <w:r>
        <w:rPr>
          <w:rFonts w:ascii="Times New Roman" w:hAnsi="Times New Roman"/>
          <w:sz w:val="22"/>
        </w:rPr>
        <w:t xml:space="preserve"> we propose:</w:t>
      </w:r>
    </w:p>
    <w:p w14:paraId="3D01A23F" w14:textId="7D7F3AE7" w:rsidR="00AC03F9" w:rsidRPr="00CD7C3D" w:rsidRDefault="00AC03F9" w:rsidP="00DE39E0">
      <w:pPr>
        <w:rPr>
          <w:rFonts w:ascii="Times New Roman" w:hAnsi="Times New Roman"/>
          <w:b/>
          <w:bCs/>
          <w:sz w:val="22"/>
        </w:rPr>
      </w:pPr>
      <w:r w:rsidRPr="00CD7C3D">
        <w:rPr>
          <w:rFonts w:ascii="Times New Roman" w:hAnsi="Times New Roman" w:hint="eastAsia"/>
          <w:b/>
          <w:bCs/>
          <w:sz w:val="22"/>
        </w:rPr>
        <w:t>P</w:t>
      </w:r>
      <w:r w:rsidRPr="00CD7C3D">
        <w:rPr>
          <w:rFonts w:ascii="Times New Roman" w:hAnsi="Times New Roman"/>
          <w:b/>
          <w:bCs/>
          <w:sz w:val="22"/>
        </w:rPr>
        <w:t>roposal 2: RAN2 to have discussion on cell DTX/DRX enhancements first, taking Option 1 (</w:t>
      </w:r>
      <w:r w:rsidR="00CD7C3D" w:rsidRPr="00CD7C3D">
        <w:rPr>
          <w:rFonts w:ascii="Times New Roman" w:hAnsi="Times New Roman"/>
          <w:b/>
          <w:bCs/>
          <w:sz w:val="22"/>
        </w:rPr>
        <w:t>Single NR cell per satellite beam and single NR beam cell</w:t>
      </w:r>
      <w:r w:rsidRPr="00CD7C3D">
        <w:rPr>
          <w:rFonts w:ascii="Times New Roman" w:hAnsi="Times New Roman"/>
          <w:b/>
          <w:bCs/>
          <w:sz w:val="22"/>
        </w:rPr>
        <w:t>) as a basic scenario.</w:t>
      </w:r>
    </w:p>
    <w:p w14:paraId="31D7B1CB" w14:textId="02A53E7F" w:rsidR="001E29A0" w:rsidRDefault="001E29A0" w:rsidP="00DE39E0">
      <w:pPr>
        <w:rPr>
          <w:rFonts w:ascii="Times New Roman" w:hAnsi="Times New Roman"/>
          <w:sz w:val="22"/>
        </w:rPr>
      </w:pPr>
      <w:r>
        <w:rPr>
          <w:rFonts w:ascii="Times New Roman" w:hAnsi="Times New Roman"/>
          <w:sz w:val="22"/>
        </w:rPr>
        <w:t>C</w:t>
      </w:r>
      <w:r w:rsidRPr="001E29A0">
        <w:rPr>
          <w:rFonts w:ascii="Times New Roman" w:hAnsi="Times New Roman"/>
          <w:sz w:val="22"/>
        </w:rPr>
        <w:t xml:space="preserve">ell DTX/DRX </w:t>
      </w:r>
      <w:r>
        <w:rPr>
          <w:rFonts w:ascii="Times New Roman" w:hAnsi="Times New Roman"/>
          <w:sz w:val="22"/>
        </w:rPr>
        <w:t>was</w:t>
      </w:r>
      <w:r w:rsidRPr="001E29A0">
        <w:rPr>
          <w:rFonts w:ascii="Times New Roman" w:hAnsi="Times New Roman"/>
          <w:sz w:val="22"/>
        </w:rPr>
        <w:t xml:space="preserve"> introduced </w:t>
      </w:r>
      <w:r>
        <w:rPr>
          <w:rFonts w:ascii="Times New Roman" w:hAnsi="Times New Roman"/>
          <w:sz w:val="22"/>
        </w:rPr>
        <w:t xml:space="preserve">in time domain </w:t>
      </w:r>
      <w:r w:rsidRPr="001E29A0">
        <w:rPr>
          <w:rFonts w:ascii="Times New Roman" w:hAnsi="Times New Roman"/>
          <w:sz w:val="22"/>
        </w:rPr>
        <w:t>to allow network to set up non-active periods for specific channels to reduce energy consumption when there is few UE or service expected. To facilitate this, UE can be configured with a periodic cell DTX/DRX pattern (active and non-active periods).</w:t>
      </w:r>
      <w:r>
        <w:rPr>
          <w:rFonts w:ascii="Times New Roman" w:hAnsi="Times New Roman"/>
          <w:sz w:val="22"/>
        </w:rPr>
        <w:t xml:space="preserve"> </w:t>
      </w:r>
      <w:r w:rsidRPr="001E29A0">
        <w:rPr>
          <w:rFonts w:ascii="Times New Roman" w:hAnsi="Times New Roman"/>
          <w:sz w:val="22"/>
        </w:rPr>
        <w:t>The pattern configuration for cell DTX/DRX is common for the UEs configured with this feature in the cell, and the cell DTX and cell DRX patterns can be configured and activated separately. When cell DTX is configured and activated for the concerned cell, the UE does not monitor PDCCH in selected cases or SPS occasions during cell DTX non-active period. When cell DRX is configured and activated for the concerned cell, the UE does not transmit on CG resources or transmit a SR during cell DRX non-active period. This feature is only applicable to UEs in RRC_CONNECTED state and it does not impact Random Access procedure, SSB transmission, paging, and system information broadcasting.</w:t>
      </w:r>
    </w:p>
    <w:p w14:paraId="53F283BE" w14:textId="354EE4BD" w:rsidR="001E29A0" w:rsidRDefault="0039130B" w:rsidP="00DE39E0">
      <w:pPr>
        <w:rPr>
          <w:rFonts w:ascii="Times New Roman" w:hAnsi="Times New Roman"/>
          <w:sz w:val="22"/>
        </w:rPr>
      </w:pPr>
      <w:r>
        <w:rPr>
          <w:rFonts w:ascii="Times New Roman" w:hAnsi="Times New Roman" w:hint="eastAsia"/>
          <w:sz w:val="22"/>
        </w:rPr>
        <w:t>It</w:t>
      </w:r>
      <w:r>
        <w:rPr>
          <w:rFonts w:ascii="Times New Roman" w:hAnsi="Times New Roman"/>
          <w:sz w:val="22"/>
        </w:rPr>
        <w:t xml:space="preserve"> is observed that, considering the nature of cell DTX/DRX and ignorable propagation delay between UE and gNB or propagation delay difference among UEs, gNB and UEs are assumed to have the same understanding about the timing of cell DTX/DRX </w:t>
      </w:r>
      <w:r w:rsidR="0052352B">
        <w:rPr>
          <w:rFonts w:ascii="Times New Roman" w:hAnsi="Times New Roman"/>
          <w:sz w:val="22"/>
        </w:rPr>
        <w:t>periods</w:t>
      </w:r>
      <w:r>
        <w:rPr>
          <w:rFonts w:ascii="Times New Roman" w:hAnsi="Times New Roman"/>
          <w:sz w:val="22"/>
        </w:rPr>
        <w:t xml:space="preserve">. As a </w:t>
      </w:r>
      <w:proofErr w:type="gramStart"/>
      <w:r>
        <w:rPr>
          <w:rFonts w:ascii="Times New Roman" w:hAnsi="Times New Roman"/>
          <w:sz w:val="22"/>
        </w:rPr>
        <w:t>result</w:t>
      </w:r>
      <w:proofErr w:type="gramEnd"/>
      <w:r>
        <w:rPr>
          <w:rFonts w:ascii="Times New Roman" w:hAnsi="Times New Roman"/>
          <w:sz w:val="22"/>
        </w:rPr>
        <w:t xml:space="preserve"> the cell DTX/DRX is designed as a common configuration and can be</w:t>
      </w:r>
      <w:r w:rsidR="00072545">
        <w:rPr>
          <w:rFonts w:ascii="Times New Roman" w:hAnsi="Times New Roman"/>
          <w:sz w:val="22"/>
        </w:rPr>
        <w:t xml:space="preserve"> directly</w:t>
      </w:r>
      <w:r>
        <w:rPr>
          <w:rFonts w:ascii="Times New Roman" w:hAnsi="Times New Roman"/>
          <w:sz w:val="22"/>
        </w:rPr>
        <w:t xml:space="preserve"> applied by all NES-capable UEs in the same cell</w:t>
      </w:r>
      <w:r w:rsidR="00072545">
        <w:rPr>
          <w:rFonts w:ascii="Times New Roman" w:hAnsi="Times New Roman"/>
          <w:sz w:val="22"/>
        </w:rPr>
        <w:t>.</w:t>
      </w:r>
    </w:p>
    <w:p w14:paraId="3EE25523" w14:textId="51B457A4" w:rsidR="00072545" w:rsidRPr="00072545" w:rsidRDefault="00072545" w:rsidP="00DE39E0">
      <w:pPr>
        <w:rPr>
          <w:rFonts w:ascii="Times New Roman" w:hAnsi="Times New Roman"/>
          <w:sz w:val="22"/>
        </w:rPr>
      </w:pPr>
      <w:r w:rsidRPr="00072545">
        <w:rPr>
          <w:rFonts w:ascii="Times New Roman" w:hAnsi="Times New Roman"/>
          <w:sz w:val="22"/>
        </w:rPr>
        <w:lastRenderedPageBreak/>
        <w:t xml:space="preserve">For NTN as shown in Figure </w:t>
      </w:r>
      <w:r>
        <w:rPr>
          <w:rFonts w:ascii="Times New Roman" w:hAnsi="Times New Roman"/>
          <w:sz w:val="22"/>
        </w:rPr>
        <w:t>1</w:t>
      </w:r>
      <w:r w:rsidRPr="00072545">
        <w:rPr>
          <w:rFonts w:ascii="Times New Roman" w:hAnsi="Times New Roman"/>
          <w:sz w:val="22"/>
        </w:rPr>
        <w:t xml:space="preserve">, due to the large propagation delay </w:t>
      </w:r>
      <w:r>
        <w:rPr>
          <w:rFonts w:ascii="Times New Roman" w:hAnsi="Times New Roman"/>
          <w:sz w:val="22"/>
        </w:rPr>
        <w:t>as well as the difference among UEs</w:t>
      </w:r>
      <w:r w:rsidRPr="00072545">
        <w:rPr>
          <w:rFonts w:ascii="Times New Roman" w:hAnsi="Times New Roman"/>
          <w:sz w:val="22"/>
        </w:rPr>
        <w:t xml:space="preserve">, the timings of the cell DTX/DRX </w:t>
      </w:r>
      <w:r w:rsidR="0052352B">
        <w:rPr>
          <w:rFonts w:ascii="Times New Roman" w:hAnsi="Times New Roman"/>
          <w:sz w:val="22"/>
        </w:rPr>
        <w:t>periods</w:t>
      </w:r>
      <w:r w:rsidRPr="00072545">
        <w:rPr>
          <w:rFonts w:ascii="Times New Roman" w:hAnsi="Times New Roman"/>
          <w:sz w:val="22"/>
        </w:rPr>
        <w:t xml:space="preserve"> at </w:t>
      </w:r>
      <w:r>
        <w:rPr>
          <w:rFonts w:ascii="Times New Roman" w:hAnsi="Times New Roman"/>
          <w:sz w:val="22"/>
        </w:rPr>
        <w:t xml:space="preserve">gNB and </w:t>
      </w:r>
      <w:r w:rsidRPr="00072545">
        <w:rPr>
          <w:rFonts w:ascii="Times New Roman" w:hAnsi="Times New Roman"/>
          <w:sz w:val="22"/>
        </w:rPr>
        <w:t>UE</w:t>
      </w:r>
      <w:r>
        <w:rPr>
          <w:rFonts w:ascii="Times New Roman" w:hAnsi="Times New Roman"/>
          <w:sz w:val="22"/>
        </w:rPr>
        <w:t>s</w:t>
      </w:r>
      <w:r w:rsidRPr="00072545">
        <w:rPr>
          <w:rFonts w:ascii="Times New Roman" w:hAnsi="Times New Roman"/>
          <w:sz w:val="22"/>
        </w:rPr>
        <w:t xml:space="preserve"> are different</w:t>
      </w:r>
      <w:r w:rsidR="00E03915">
        <w:rPr>
          <w:rFonts w:ascii="Times New Roman" w:hAnsi="Times New Roman"/>
          <w:sz w:val="22"/>
        </w:rPr>
        <w:t xml:space="preserve">, and </w:t>
      </w:r>
      <w:r w:rsidRPr="00072545">
        <w:rPr>
          <w:rFonts w:ascii="Times New Roman" w:hAnsi="Times New Roman"/>
          <w:sz w:val="22"/>
        </w:rPr>
        <w:t>the following misalignment may occur:</w:t>
      </w:r>
    </w:p>
    <w:p w14:paraId="0BE8E7A6" w14:textId="18D2CD58" w:rsidR="00072545" w:rsidRPr="00890D6A" w:rsidRDefault="00072545" w:rsidP="00DE39E0">
      <w:pPr>
        <w:pStyle w:val="a6"/>
        <w:numPr>
          <w:ilvl w:val="0"/>
          <w:numId w:val="33"/>
        </w:numPr>
        <w:spacing w:after="0"/>
        <w:ind w:left="442" w:firstLineChars="0" w:hanging="442"/>
        <w:jc w:val="both"/>
        <w:rPr>
          <w:sz w:val="22"/>
        </w:rPr>
      </w:pPr>
      <w:r w:rsidRPr="00890D6A">
        <w:rPr>
          <w:sz w:val="22"/>
        </w:rPr>
        <w:t>For cell DTX, UE may either miss possible transmission from network or monitor PDCCH too early with unnecessary power consumption.</w:t>
      </w:r>
    </w:p>
    <w:p w14:paraId="010B8D2C" w14:textId="0AE3C8CE" w:rsidR="00072545" w:rsidRPr="00890D6A" w:rsidRDefault="00072545" w:rsidP="00DE39E0">
      <w:pPr>
        <w:pStyle w:val="a6"/>
        <w:numPr>
          <w:ilvl w:val="0"/>
          <w:numId w:val="33"/>
        </w:numPr>
        <w:spacing w:after="0"/>
        <w:ind w:left="442" w:firstLineChars="0" w:hanging="442"/>
        <w:jc w:val="both"/>
        <w:rPr>
          <w:sz w:val="22"/>
        </w:rPr>
      </w:pPr>
      <w:r w:rsidRPr="00890D6A">
        <w:rPr>
          <w:sz w:val="22"/>
        </w:rPr>
        <w:t>For cell DRX, UE may initiate transmission to the network too late</w:t>
      </w:r>
      <w:r w:rsidR="00890D6A" w:rsidRPr="00890D6A">
        <w:rPr>
          <w:sz w:val="22"/>
        </w:rPr>
        <w:t xml:space="preserve"> and miss an active </w:t>
      </w:r>
      <w:r w:rsidR="0052352B">
        <w:rPr>
          <w:sz w:val="22"/>
        </w:rPr>
        <w:t>periods</w:t>
      </w:r>
      <w:r w:rsidR="00890D6A" w:rsidRPr="00890D6A">
        <w:rPr>
          <w:sz w:val="22"/>
        </w:rPr>
        <w:t xml:space="preserve"> of cell DRX</w:t>
      </w:r>
      <w:r w:rsidRPr="00890D6A">
        <w:rPr>
          <w:sz w:val="22"/>
        </w:rPr>
        <w:t>.</w:t>
      </w:r>
    </w:p>
    <w:p w14:paraId="14590155" w14:textId="5CF2A5EE" w:rsidR="00A621C3" w:rsidRDefault="00A621C3" w:rsidP="004E2B68">
      <w:pPr>
        <w:jc w:val="center"/>
        <w:rPr>
          <w:rFonts w:ascii="Times New Roman" w:hAnsi="Times New Roman"/>
          <w:b/>
          <w:bCs/>
          <w:sz w:val="22"/>
        </w:rPr>
      </w:pPr>
      <w:r>
        <w:rPr>
          <w:rFonts w:ascii="Times New Roman" w:hAnsi="Times New Roman"/>
          <w:noProof/>
          <w:sz w:val="22"/>
        </w:rPr>
        <w:drawing>
          <wp:inline distT="0" distB="0" distL="0" distR="0" wp14:anchorId="63D47034" wp14:editId="7610C8A3">
            <wp:extent cx="5090795" cy="10604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97727" cy="1061911"/>
                    </a:xfrm>
                    <a:prstGeom prst="rect">
                      <a:avLst/>
                    </a:prstGeom>
                    <a:noFill/>
                  </pic:spPr>
                </pic:pic>
              </a:graphicData>
            </a:graphic>
          </wp:inline>
        </w:drawing>
      </w:r>
    </w:p>
    <w:p w14:paraId="2F296051" w14:textId="60442A4E" w:rsidR="00A621C3" w:rsidRPr="00DE39E0" w:rsidRDefault="00A621C3" w:rsidP="004E2B68">
      <w:pPr>
        <w:jc w:val="center"/>
        <w:rPr>
          <w:rFonts w:ascii="Times New Roman" w:hAnsi="Times New Roman"/>
          <w:sz w:val="22"/>
        </w:rPr>
      </w:pPr>
      <w:r w:rsidRPr="00DE39E0">
        <w:rPr>
          <w:rFonts w:ascii="Times New Roman" w:hAnsi="Times New Roman" w:hint="eastAsia"/>
          <w:sz w:val="22"/>
        </w:rPr>
        <w:t>F</w:t>
      </w:r>
      <w:r w:rsidRPr="00DE39E0">
        <w:rPr>
          <w:rFonts w:ascii="Times New Roman" w:hAnsi="Times New Roman"/>
          <w:sz w:val="22"/>
        </w:rPr>
        <w:t xml:space="preserve">igure 1. </w:t>
      </w:r>
      <w:r w:rsidR="00CD2BE4" w:rsidRPr="00DE39E0">
        <w:rPr>
          <w:rFonts w:ascii="Times New Roman" w:hAnsi="Times New Roman"/>
          <w:sz w:val="22"/>
        </w:rPr>
        <w:t>Timing misalignment</w:t>
      </w:r>
      <w:r w:rsidRPr="00DE39E0">
        <w:rPr>
          <w:rFonts w:ascii="Times New Roman" w:hAnsi="Times New Roman"/>
          <w:sz w:val="22"/>
        </w:rPr>
        <w:t xml:space="preserve"> </w:t>
      </w:r>
      <w:r w:rsidR="00CD2BE4" w:rsidRPr="00DE39E0">
        <w:rPr>
          <w:rFonts w:ascii="Times New Roman" w:hAnsi="Times New Roman"/>
          <w:sz w:val="22"/>
        </w:rPr>
        <w:t xml:space="preserve">for </w:t>
      </w:r>
      <w:r w:rsidRPr="00DE39E0">
        <w:rPr>
          <w:rFonts w:ascii="Times New Roman" w:hAnsi="Times New Roman"/>
          <w:sz w:val="22"/>
        </w:rPr>
        <w:t xml:space="preserve">cell DTX/DRX </w:t>
      </w:r>
      <w:r w:rsidR="0052352B" w:rsidRPr="00DE39E0">
        <w:rPr>
          <w:rFonts w:ascii="Times New Roman" w:hAnsi="Times New Roman"/>
          <w:sz w:val="22"/>
        </w:rPr>
        <w:t>periods</w:t>
      </w:r>
      <w:r w:rsidRPr="00DE39E0">
        <w:rPr>
          <w:rFonts w:ascii="Times New Roman" w:hAnsi="Times New Roman"/>
          <w:sz w:val="22"/>
        </w:rPr>
        <w:t xml:space="preserve"> between gNB and UE </w:t>
      </w:r>
      <w:r w:rsidR="00CD2BE4" w:rsidRPr="00DE39E0">
        <w:rPr>
          <w:rFonts w:ascii="Times New Roman" w:hAnsi="Times New Roman"/>
          <w:sz w:val="22"/>
        </w:rPr>
        <w:t>in NTN</w:t>
      </w:r>
    </w:p>
    <w:p w14:paraId="2E72D3F3" w14:textId="471B82F1" w:rsidR="00072545" w:rsidRPr="00DE39E0" w:rsidRDefault="00DA2DE4" w:rsidP="00DE39E0">
      <w:pPr>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w:t>
      </w:r>
      <w:r w:rsidR="00CD7C3D">
        <w:rPr>
          <w:rFonts w:ascii="Times New Roman" w:hAnsi="Times New Roman"/>
          <w:b/>
          <w:bCs/>
          <w:sz w:val="22"/>
        </w:rPr>
        <w:t>4</w:t>
      </w:r>
      <w:r w:rsidRPr="00DE39E0">
        <w:rPr>
          <w:rFonts w:ascii="Times New Roman" w:hAnsi="Times New Roman"/>
          <w:b/>
          <w:bCs/>
          <w:sz w:val="22"/>
        </w:rPr>
        <w:t xml:space="preserve">: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cell DTX/DRX </w:t>
      </w:r>
      <w:r w:rsidR="0052352B" w:rsidRPr="00DE39E0">
        <w:rPr>
          <w:rFonts w:ascii="Times New Roman" w:hAnsi="Times New Roman"/>
          <w:b/>
          <w:bCs/>
          <w:sz w:val="22"/>
        </w:rPr>
        <w:t>period</w:t>
      </w:r>
      <w:r w:rsidRPr="00DE39E0">
        <w:rPr>
          <w:rFonts w:ascii="Times New Roman" w:hAnsi="Times New Roman"/>
          <w:b/>
          <w:bCs/>
          <w:sz w:val="22"/>
        </w:rPr>
        <w:t>s</w:t>
      </w:r>
      <w:r w:rsidR="00A621C3" w:rsidRPr="00DE39E0">
        <w:rPr>
          <w:rFonts w:ascii="Times New Roman" w:hAnsi="Times New Roman"/>
          <w:b/>
          <w:bCs/>
          <w:sz w:val="22"/>
        </w:rPr>
        <w:t>.</w:t>
      </w:r>
    </w:p>
    <w:p w14:paraId="32571989" w14:textId="4203BDA9" w:rsidR="00A621C3" w:rsidRPr="00DE39E0" w:rsidRDefault="00CD2BE4" w:rsidP="00DE39E0">
      <w:pPr>
        <w:rPr>
          <w:rFonts w:ascii="Times New Roman" w:hAnsi="Times New Roman"/>
          <w:sz w:val="22"/>
        </w:rPr>
      </w:pPr>
      <w:r w:rsidRPr="00DE39E0">
        <w:rPr>
          <w:rFonts w:ascii="Times New Roman" w:hAnsi="Times New Roman"/>
          <w:sz w:val="22"/>
        </w:rPr>
        <w:t>A straight-forward option to solve this issue is to compensate the propagation delay with a time offset as what has been done in Rel-17 &amp; Rel-18 NTN for RAR, i.e., a time offset can be applied to the corresponding timers at UE.</w:t>
      </w:r>
    </w:p>
    <w:p w14:paraId="3FA9EFFC" w14:textId="6447A24C" w:rsidR="00CD2BE4" w:rsidRPr="00DE39E0" w:rsidRDefault="00CD2BE4" w:rsidP="00DE39E0">
      <w:pPr>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w:t>
      </w:r>
      <w:r w:rsidR="00CD7C3D">
        <w:rPr>
          <w:rFonts w:ascii="Times New Roman" w:hAnsi="Times New Roman"/>
          <w:b/>
          <w:bCs/>
          <w:sz w:val="22"/>
        </w:rPr>
        <w:t>3</w:t>
      </w:r>
      <w:r w:rsidRPr="00DE39E0">
        <w:rPr>
          <w:rFonts w:ascii="Times New Roman" w:hAnsi="Times New Roman"/>
          <w:b/>
          <w:bCs/>
          <w:sz w:val="22"/>
        </w:rPr>
        <w:t xml:space="preserve">: </w:t>
      </w:r>
      <w:r w:rsidR="00DE3776">
        <w:rPr>
          <w:rFonts w:ascii="Times New Roman" w:hAnsi="Times New Roman"/>
          <w:b/>
          <w:bCs/>
          <w:sz w:val="22"/>
        </w:rPr>
        <w:t xml:space="preserve">If cell DTX/DRX in NES is applied in NTN, </w:t>
      </w:r>
      <w:r w:rsidRPr="00DE39E0">
        <w:rPr>
          <w:rFonts w:ascii="Times New Roman" w:hAnsi="Times New Roman"/>
          <w:b/>
          <w:bCs/>
          <w:sz w:val="22"/>
        </w:rPr>
        <w:t xml:space="preserve">RAN2 to </w:t>
      </w:r>
      <w:r w:rsidR="00DE3776">
        <w:rPr>
          <w:rFonts w:ascii="Times New Roman" w:hAnsi="Times New Roman"/>
          <w:b/>
          <w:bCs/>
          <w:sz w:val="22"/>
        </w:rPr>
        <w:t>discuss</w:t>
      </w:r>
      <w:r w:rsidRPr="00DE39E0">
        <w:rPr>
          <w:rFonts w:ascii="Times New Roman" w:hAnsi="Times New Roman"/>
          <w:b/>
          <w:bCs/>
          <w:sz w:val="22"/>
        </w:rPr>
        <w:t xml:space="preserve"> the issue of timing misalignment for cell DTX/DRX </w:t>
      </w:r>
      <w:r w:rsidR="0052352B" w:rsidRPr="00DE39E0">
        <w:rPr>
          <w:rFonts w:ascii="Times New Roman" w:hAnsi="Times New Roman"/>
          <w:b/>
          <w:bCs/>
          <w:sz w:val="22"/>
        </w:rPr>
        <w:t>active/non-active periods</w:t>
      </w:r>
      <w:r w:rsidRPr="00DE39E0">
        <w:rPr>
          <w:rFonts w:ascii="Times New Roman" w:hAnsi="Times New Roman"/>
          <w:b/>
          <w:bCs/>
          <w:sz w:val="22"/>
        </w:rPr>
        <w:t xml:space="preserve"> between gNB and UE in NTN</w:t>
      </w:r>
      <w:r w:rsidR="0052352B" w:rsidRPr="00DE39E0">
        <w:rPr>
          <w:rFonts w:ascii="Times New Roman" w:hAnsi="Times New Roman"/>
          <w:b/>
          <w:bCs/>
          <w:sz w:val="22"/>
        </w:rPr>
        <w:t xml:space="preserve">. Time offset </w:t>
      </w:r>
      <w:proofErr w:type="gramStart"/>
      <w:r w:rsidR="0052352B" w:rsidRPr="00DE39E0">
        <w:rPr>
          <w:rFonts w:ascii="Times New Roman" w:hAnsi="Times New Roman"/>
          <w:b/>
          <w:bCs/>
          <w:sz w:val="22"/>
        </w:rPr>
        <w:t>similar to</w:t>
      </w:r>
      <w:proofErr w:type="gramEnd"/>
      <w:r w:rsidR="0052352B" w:rsidRPr="00DE39E0">
        <w:rPr>
          <w:rFonts w:ascii="Times New Roman" w:hAnsi="Times New Roman"/>
          <w:b/>
          <w:bCs/>
          <w:sz w:val="22"/>
        </w:rPr>
        <w:t xml:space="preserve"> RAR handling in NTN could be a starting point.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759723A9" w:rsidR="009A4608" w:rsidRDefault="00886071" w:rsidP="005C389C">
      <w:pPr>
        <w:rPr>
          <w:rFonts w:ascii="Times New Roman" w:hAnsi="Times New Roman"/>
          <w:sz w:val="22"/>
        </w:rPr>
      </w:pPr>
      <w:r w:rsidRPr="00886071">
        <w:rPr>
          <w:rFonts w:ascii="Times New Roman" w:hAnsi="Times New Roman"/>
          <w:sz w:val="22"/>
        </w:rPr>
        <w:t>In this contribution we</w:t>
      </w:r>
      <w:r w:rsidR="00CD7C3D">
        <w:rPr>
          <w:rFonts w:ascii="Times New Roman" w:hAnsi="Times New Roman"/>
          <w:sz w:val="22"/>
        </w:rPr>
        <w:t xml:space="preserve"> discuss the</w:t>
      </w:r>
      <w:r w:rsidRPr="00886071">
        <w:rPr>
          <w:rFonts w:ascii="Times New Roman" w:hAnsi="Times New Roman"/>
          <w:sz w:val="22"/>
        </w:rPr>
        <w:t xml:space="preserve"> </w:t>
      </w:r>
      <w:r w:rsidR="00CD7C3D">
        <w:rPr>
          <w:rFonts w:ascii="Times New Roman" w:hAnsi="Times New Roman"/>
          <w:sz w:val="22"/>
        </w:rPr>
        <w:t>beam and cell level DTX/DRX leveraging Rel-18 NES techniques in NTN</w:t>
      </w:r>
      <w:r w:rsidR="008F657F">
        <w:rPr>
          <w:rFonts w:ascii="Times New Roman" w:hAnsi="Times New Roman"/>
          <w:sz w:val="22"/>
        </w:rPr>
        <w:t xml:space="preserve"> for DL coverage enhancement</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E83AE49" w14:textId="77777777" w:rsidR="00DA6074" w:rsidRPr="00C96890" w:rsidRDefault="00DA6074" w:rsidP="00DA6074">
      <w:pPr>
        <w:rPr>
          <w:rFonts w:ascii="Times New Roman" w:eastAsiaTheme="minorEastAsia" w:hAnsi="Times New Roman"/>
          <w:b/>
          <w:bCs/>
          <w:sz w:val="22"/>
        </w:rPr>
      </w:pPr>
      <w:r w:rsidRPr="00C96890">
        <w:rPr>
          <w:rFonts w:ascii="Times New Roman" w:eastAsiaTheme="minorEastAsia" w:hAnsi="Times New Roman" w:hint="eastAsia"/>
          <w:b/>
          <w:bCs/>
          <w:sz w:val="22"/>
        </w:rPr>
        <w:t>O</w:t>
      </w:r>
      <w:r w:rsidRPr="00C96890">
        <w:rPr>
          <w:rFonts w:ascii="Times New Roman" w:eastAsiaTheme="minorEastAsia" w:hAnsi="Times New Roman"/>
          <w:b/>
          <w:bCs/>
          <w:sz w:val="22"/>
        </w:rPr>
        <w:t>bservation 1: The “beam-level” refers to satellite beam which is different from the NR beam (SSB).</w:t>
      </w:r>
    </w:p>
    <w:p w14:paraId="0CC1EEE7" w14:textId="77777777" w:rsidR="00DA6074" w:rsidRPr="007C7362" w:rsidRDefault="00DA6074" w:rsidP="00DA6074">
      <w:pPr>
        <w:rPr>
          <w:rFonts w:ascii="Times New Roman" w:hAnsi="Times New Roman"/>
          <w:b/>
          <w:bCs/>
          <w:sz w:val="22"/>
        </w:rPr>
      </w:pPr>
      <w:r w:rsidRPr="007C7362">
        <w:rPr>
          <w:rFonts w:ascii="Times New Roman" w:hAnsi="Times New Roman" w:hint="eastAsia"/>
          <w:b/>
          <w:bCs/>
          <w:sz w:val="22"/>
        </w:rPr>
        <w:t>O</w:t>
      </w:r>
      <w:r w:rsidRPr="007C7362">
        <w:rPr>
          <w:rFonts w:ascii="Times New Roman" w:hAnsi="Times New Roman"/>
          <w:b/>
          <w:bCs/>
          <w:sz w:val="22"/>
        </w:rPr>
        <w:t>bservation 2: The association or mapping relationship between satellite beams and NTN cells or SSBs within an NTN cell is pending on RAN1 discussion.</w:t>
      </w:r>
    </w:p>
    <w:p w14:paraId="46F86095" w14:textId="77777777" w:rsidR="00DA6074" w:rsidRPr="00CD7C3D" w:rsidRDefault="00DA6074" w:rsidP="00DA6074">
      <w:pPr>
        <w:rPr>
          <w:rFonts w:ascii="Times New Roman" w:hAnsi="Times New Roman"/>
          <w:b/>
          <w:bCs/>
          <w:sz w:val="22"/>
        </w:rPr>
      </w:pPr>
      <w:r w:rsidRPr="00CD7C3D">
        <w:rPr>
          <w:rFonts w:ascii="Times New Roman" w:hAnsi="Times New Roman" w:hint="eastAsia"/>
          <w:b/>
          <w:bCs/>
          <w:sz w:val="22"/>
        </w:rPr>
        <w:t>O</w:t>
      </w:r>
      <w:r w:rsidRPr="00CD7C3D">
        <w:rPr>
          <w:rFonts w:ascii="Times New Roman" w:hAnsi="Times New Roman"/>
          <w:b/>
          <w:bCs/>
          <w:sz w:val="22"/>
        </w:rPr>
        <w:t>bservation 3: From RAN2 perspective the scenario of Option 1 (Single NR cell per satellite beam and single NR beam cell) can be a starting point to discuss cell DTX/DRX enhancements without waiting for RAN1’s progress.</w:t>
      </w:r>
    </w:p>
    <w:p w14:paraId="69F798D4" w14:textId="77777777" w:rsidR="00DA6074" w:rsidRPr="00DE39E0" w:rsidRDefault="00DA6074" w:rsidP="00DA6074">
      <w:pPr>
        <w:rPr>
          <w:rFonts w:ascii="Times New Roman" w:hAnsi="Times New Roman"/>
          <w:b/>
          <w:bCs/>
          <w:sz w:val="22"/>
        </w:rPr>
      </w:pPr>
      <w:r w:rsidRPr="00DE39E0">
        <w:rPr>
          <w:rFonts w:ascii="Times New Roman" w:hAnsi="Times New Roman" w:hint="eastAsia"/>
          <w:b/>
          <w:bCs/>
          <w:sz w:val="22"/>
        </w:rPr>
        <w:t>O</w:t>
      </w:r>
      <w:r w:rsidRPr="00DE39E0">
        <w:rPr>
          <w:rFonts w:ascii="Times New Roman" w:hAnsi="Times New Roman"/>
          <w:b/>
          <w:bCs/>
          <w:sz w:val="22"/>
        </w:rPr>
        <w:t xml:space="preserve">bservation </w:t>
      </w:r>
      <w:r>
        <w:rPr>
          <w:rFonts w:ascii="Times New Roman" w:hAnsi="Times New Roman"/>
          <w:b/>
          <w:bCs/>
          <w:sz w:val="22"/>
        </w:rPr>
        <w:t>4</w:t>
      </w:r>
      <w:r w:rsidRPr="00DE39E0">
        <w:rPr>
          <w:rFonts w:ascii="Times New Roman" w:hAnsi="Times New Roman"/>
          <w:b/>
          <w:bCs/>
          <w:sz w:val="22"/>
        </w:rPr>
        <w:t xml:space="preserve">: Due to the large propagation delay and propagation delay difference in NTN, the configuring gNB </w:t>
      </w:r>
      <w:r w:rsidRPr="00DE39E0">
        <w:rPr>
          <w:rFonts w:ascii="Times New Roman" w:hAnsi="Times New Roman" w:hint="eastAsia"/>
          <w:b/>
          <w:bCs/>
          <w:sz w:val="22"/>
        </w:rPr>
        <w:t>and</w:t>
      </w:r>
      <w:r w:rsidRPr="00DE39E0">
        <w:rPr>
          <w:rFonts w:ascii="Times New Roman" w:hAnsi="Times New Roman"/>
          <w:b/>
          <w:bCs/>
          <w:sz w:val="22"/>
        </w:rPr>
        <w:t xml:space="preserve"> the configured UEs may have different understanding about the timing of cell DTX/DRX periods.</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0B70C225" w14:textId="77777777" w:rsidR="00DA6074" w:rsidRPr="00784729" w:rsidRDefault="00DA6074" w:rsidP="00DA6074">
      <w:pPr>
        <w:rPr>
          <w:rFonts w:ascii="Times New Roman" w:hAnsi="Times New Roman"/>
          <w:b/>
          <w:bCs/>
          <w:sz w:val="22"/>
        </w:rPr>
      </w:pPr>
      <w:r w:rsidRPr="00784729">
        <w:rPr>
          <w:rFonts w:ascii="Times New Roman" w:hAnsi="Times New Roman" w:hint="eastAsia"/>
          <w:b/>
          <w:bCs/>
          <w:sz w:val="22"/>
        </w:rPr>
        <w:t>P</w:t>
      </w:r>
      <w:r w:rsidRPr="00784729">
        <w:rPr>
          <w:rFonts w:ascii="Times New Roman" w:hAnsi="Times New Roman"/>
          <w:b/>
          <w:bCs/>
          <w:sz w:val="22"/>
        </w:rPr>
        <w:t>roposal 1: Discussion for satellite beam level mechanisms (e.g., DTX/DRX) can wait for RAN1’s further progress e.g., details of satellite beam patterns and mapping relations between satellite beam and cell (and possibly SSB).</w:t>
      </w:r>
    </w:p>
    <w:p w14:paraId="7FD4B1B8" w14:textId="77777777" w:rsidR="00DA6074" w:rsidRPr="00CD7C3D" w:rsidRDefault="00DA6074" w:rsidP="00DA6074">
      <w:pPr>
        <w:rPr>
          <w:rFonts w:ascii="Times New Roman" w:hAnsi="Times New Roman"/>
          <w:b/>
          <w:bCs/>
          <w:sz w:val="22"/>
        </w:rPr>
      </w:pPr>
      <w:r w:rsidRPr="00CD7C3D">
        <w:rPr>
          <w:rFonts w:ascii="Times New Roman" w:hAnsi="Times New Roman" w:hint="eastAsia"/>
          <w:b/>
          <w:bCs/>
          <w:sz w:val="22"/>
        </w:rPr>
        <w:t>P</w:t>
      </w:r>
      <w:r w:rsidRPr="00CD7C3D">
        <w:rPr>
          <w:rFonts w:ascii="Times New Roman" w:hAnsi="Times New Roman"/>
          <w:b/>
          <w:bCs/>
          <w:sz w:val="22"/>
        </w:rPr>
        <w:t>roposal 2: RAN2 to have discussion on cell DTX/DRX enhancements first, taking Option 1 (Single NR cell per satellite beam and single NR beam cell) as a basic scenario.</w:t>
      </w:r>
    </w:p>
    <w:p w14:paraId="18478002" w14:textId="2D21491B" w:rsidR="005C389C" w:rsidRPr="00DA6074" w:rsidRDefault="00DA6074" w:rsidP="00DA6074">
      <w:pPr>
        <w:rPr>
          <w:rFonts w:ascii="Times New Roman" w:hAnsi="Times New Roman"/>
          <w:b/>
          <w:bCs/>
          <w:sz w:val="22"/>
        </w:rPr>
      </w:pPr>
      <w:r w:rsidRPr="00DE39E0">
        <w:rPr>
          <w:rFonts w:ascii="Times New Roman" w:hAnsi="Times New Roman" w:hint="eastAsia"/>
          <w:b/>
          <w:bCs/>
          <w:sz w:val="22"/>
        </w:rPr>
        <w:t>P</w:t>
      </w:r>
      <w:r w:rsidRPr="00DE39E0">
        <w:rPr>
          <w:rFonts w:ascii="Times New Roman" w:hAnsi="Times New Roman"/>
          <w:b/>
          <w:bCs/>
          <w:sz w:val="22"/>
        </w:rPr>
        <w:t xml:space="preserve">roposal </w:t>
      </w:r>
      <w:r>
        <w:rPr>
          <w:rFonts w:ascii="Times New Roman" w:hAnsi="Times New Roman"/>
          <w:b/>
          <w:bCs/>
          <w:sz w:val="22"/>
        </w:rPr>
        <w:t>3</w:t>
      </w:r>
      <w:r w:rsidRPr="00DE39E0">
        <w:rPr>
          <w:rFonts w:ascii="Times New Roman" w:hAnsi="Times New Roman"/>
          <w:b/>
          <w:bCs/>
          <w:sz w:val="22"/>
        </w:rPr>
        <w:t xml:space="preserve">: </w:t>
      </w:r>
      <w:r>
        <w:rPr>
          <w:rFonts w:ascii="Times New Roman" w:hAnsi="Times New Roman"/>
          <w:b/>
          <w:bCs/>
          <w:sz w:val="22"/>
        </w:rPr>
        <w:t xml:space="preserve">If cell DTX/DRX in NES is applied in NTN, </w:t>
      </w:r>
      <w:r w:rsidRPr="00DE39E0">
        <w:rPr>
          <w:rFonts w:ascii="Times New Roman" w:hAnsi="Times New Roman"/>
          <w:b/>
          <w:bCs/>
          <w:sz w:val="22"/>
        </w:rPr>
        <w:t xml:space="preserve">RAN2 to </w:t>
      </w:r>
      <w:r>
        <w:rPr>
          <w:rFonts w:ascii="Times New Roman" w:hAnsi="Times New Roman"/>
          <w:b/>
          <w:bCs/>
          <w:sz w:val="22"/>
        </w:rPr>
        <w:t>discuss</w:t>
      </w:r>
      <w:r w:rsidRPr="00DE39E0">
        <w:rPr>
          <w:rFonts w:ascii="Times New Roman" w:hAnsi="Times New Roman"/>
          <w:b/>
          <w:bCs/>
          <w:sz w:val="22"/>
        </w:rPr>
        <w:t xml:space="preserve"> the issue of timing misalignment for cell DTX/DRX active/non-active periods between gNB and UE in NTN. Time offset </w:t>
      </w:r>
      <w:proofErr w:type="gramStart"/>
      <w:r w:rsidRPr="00DE39E0">
        <w:rPr>
          <w:rFonts w:ascii="Times New Roman" w:hAnsi="Times New Roman"/>
          <w:b/>
          <w:bCs/>
          <w:sz w:val="22"/>
        </w:rPr>
        <w:t>similar to</w:t>
      </w:r>
      <w:proofErr w:type="gramEnd"/>
      <w:r w:rsidRPr="00DE39E0">
        <w:rPr>
          <w:rFonts w:ascii="Times New Roman" w:hAnsi="Times New Roman"/>
          <w:b/>
          <w:bCs/>
          <w:sz w:val="22"/>
        </w:rPr>
        <w:t xml:space="preserve"> RAR handling in NTN could be a starting point.</w:t>
      </w:r>
    </w:p>
    <w:sectPr w:rsidR="005C389C" w:rsidRPr="00DA6074"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3922" w14:textId="77777777" w:rsidR="00A57ADC" w:rsidRDefault="00A57ADC">
      <w:r>
        <w:separator/>
      </w:r>
    </w:p>
  </w:endnote>
  <w:endnote w:type="continuationSeparator" w:id="0">
    <w:p w14:paraId="1FA2B88A" w14:textId="77777777" w:rsidR="00A57ADC" w:rsidRDefault="00A57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1756" w14:textId="77777777" w:rsidR="00A57ADC" w:rsidRDefault="00A57ADC">
      <w:r>
        <w:separator/>
      </w:r>
    </w:p>
  </w:footnote>
  <w:footnote w:type="continuationSeparator" w:id="0">
    <w:p w14:paraId="0BAA458C" w14:textId="77777777" w:rsidR="00A57ADC" w:rsidRDefault="00A57A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6"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2"/>
  </w:num>
  <w:num w:numId="2" w16cid:durableId="1984658315">
    <w:abstractNumId w:val="3"/>
  </w:num>
  <w:num w:numId="3" w16cid:durableId="722876610">
    <w:abstractNumId w:val="35"/>
  </w:num>
  <w:num w:numId="4" w16cid:durableId="859195836">
    <w:abstractNumId w:val="34"/>
  </w:num>
  <w:num w:numId="5" w16cid:durableId="220140937">
    <w:abstractNumId w:val="13"/>
  </w:num>
  <w:num w:numId="6" w16cid:durableId="1734040883">
    <w:abstractNumId w:val="31"/>
  </w:num>
  <w:num w:numId="7" w16cid:durableId="2045521902">
    <w:abstractNumId w:val="7"/>
  </w:num>
  <w:num w:numId="8" w16cid:durableId="163935166">
    <w:abstractNumId w:val="20"/>
  </w:num>
  <w:num w:numId="9" w16cid:durableId="1679574324">
    <w:abstractNumId w:val="6"/>
  </w:num>
  <w:num w:numId="10" w16cid:durableId="75370074">
    <w:abstractNumId w:val="21"/>
  </w:num>
  <w:num w:numId="11" w16cid:durableId="1796754296">
    <w:abstractNumId w:val="4"/>
  </w:num>
  <w:num w:numId="12" w16cid:durableId="384646512">
    <w:abstractNumId w:val="19"/>
  </w:num>
  <w:num w:numId="13" w16cid:durableId="1573813467">
    <w:abstractNumId w:val="26"/>
  </w:num>
  <w:num w:numId="14" w16cid:durableId="1493519478">
    <w:abstractNumId w:val="8"/>
  </w:num>
  <w:num w:numId="15" w16cid:durableId="127743599">
    <w:abstractNumId w:val="37"/>
  </w:num>
  <w:num w:numId="16" w16cid:durableId="1895191140">
    <w:abstractNumId w:val="38"/>
  </w:num>
  <w:num w:numId="17" w16cid:durableId="828903070">
    <w:abstractNumId w:val="2"/>
  </w:num>
  <w:num w:numId="18" w16cid:durableId="1821799038">
    <w:abstractNumId w:val="10"/>
  </w:num>
  <w:num w:numId="19" w16cid:durableId="985160454">
    <w:abstractNumId w:val="24"/>
  </w:num>
  <w:num w:numId="20" w16cid:durableId="1390036946">
    <w:abstractNumId w:val="1"/>
  </w:num>
  <w:num w:numId="21" w16cid:durableId="381757924">
    <w:abstractNumId w:val="29"/>
  </w:num>
  <w:num w:numId="22" w16cid:durableId="1834640208">
    <w:abstractNumId w:val="5"/>
  </w:num>
  <w:num w:numId="23" w16cid:durableId="303239897">
    <w:abstractNumId w:val="18"/>
  </w:num>
  <w:num w:numId="24" w16cid:durableId="1178815800">
    <w:abstractNumId w:val="12"/>
  </w:num>
  <w:num w:numId="25" w16cid:durableId="1387993154">
    <w:abstractNumId w:val="28"/>
  </w:num>
  <w:num w:numId="26" w16cid:durableId="940138824">
    <w:abstractNumId w:val="30"/>
  </w:num>
  <w:num w:numId="27" w16cid:durableId="871189877">
    <w:abstractNumId w:val="27"/>
  </w:num>
  <w:num w:numId="28" w16cid:durableId="418596070">
    <w:abstractNumId w:val="39"/>
  </w:num>
  <w:num w:numId="29" w16cid:durableId="1149438441">
    <w:abstractNumId w:val="22"/>
  </w:num>
  <w:num w:numId="30" w16cid:durableId="1023165204">
    <w:abstractNumId w:val="36"/>
  </w:num>
  <w:num w:numId="31" w16cid:durableId="730009029">
    <w:abstractNumId w:val="17"/>
  </w:num>
  <w:num w:numId="32" w16cid:durableId="2073652555">
    <w:abstractNumId w:val="14"/>
  </w:num>
  <w:num w:numId="33" w16cid:durableId="483818738">
    <w:abstractNumId w:val="16"/>
  </w:num>
  <w:num w:numId="34" w16cid:durableId="131290464">
    <w:abstractNumId w:val="9"/>
  </w:num>
  <w:num w:numId="35" w16cid:durableId="242952235">
    <w:abstractNumId w:val="15"/>
  </w:num>
  <w:num w:numId="36" w16cid:durableId="185217925">
    <w:abstractNumId w:val="33"/>
  </w:num>
  <w:num w:numId="37" w16cid:durableId="2075394245">
    <w:abstractNumId w:val="25"/>
  </w:num>
  <w:num w:numId="38" w16cid:durableId="1001927497">
    <w:abstractNumId w:val="23"/>
  </w:num>
  <w:num w:numId="39" w16cid:durableId="864059082">
    <w:abstractNumId w:val="11"/>
  </w:num>
  <w:num w:numId="40" w16cid:durableId="188181991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8343</TotalTime>
  <Pages>3</Pages>
  <Words>1363</Words>
  <Characters>7774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220</cp:revision>
  <cp:lastPrinted>2012-10-30T00:20:00Z</cp:lastPrinted>
  <dcterms:created xsi:type="dcterms:W3CDTF">2020-08-03T07:44:00Z</dcterms:created>
  <dcterms:modified xsi:type="dcterms:W3CDTF">2024-05-10T01:01:00Z</dcterms:modified>
</cp:coreProperties>
</file>